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kern w:val="0"/>
          <w:sz w:val="44"/>
          <w:szCs w:val="44"/>
          <w:lang w:eastAsia="zh-CN"/>
        </w:rPr>
      </w:pPr>
    </w:p>
    <w:p>
      <w:pPr>
        <w:pStyle w:val="8"/>
        <w:rPr>
          <w:rFonts w:hint="eastAsia"/>
          <w:lang w:eastAsia="zh-CN"/>
        </w:rPr>
      </w:pPr>
    </w:p>
    <w:p>
      <w:pPr>
        <w:pStyle w:val="8"/>
        <w:rPr>
          <w:rFonts w:hint="eastAsia" w:ascii="方正小标宋简体" w:hAnsi="方正小标宋简体" w:eastAsia="方正小标宋简体" w:cs="方正小标宋简体"/>
          <w:b w:val="0"/>
          <w:bCs w:val="0"/>
          <w:kern w:val="0"/>
          <w:sz w:val="44"/>
          <w:szCs w:val="44"/>
          <w:lang w:eastAsia="zh-CN"/>
        </w:rPr>
      </w:pPr>
    </w:p>
    <w:p>
      <w:pPr>
        <w:pStyle w:val="7"/>
        <w:keepNext/>
        <w:keepLines/>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黑龙江省国资委20</w:t>
      </w:r>
      <w:r>
        <w:rPr>
          <w:rFonts w:hint="eastAsia" w:ascii="方正小标宋简体" w:hAnsi="方正小标宋简体" w:eastAsia="方正小标宋简体" w:cs="方正小标宋简体"/>
          <w:b w:val="0"/>
          <w:bCs w:val="0"/>
          <w:kern w:val="0"/>
          <w:sz w:val="44"/>
          <w:szCs w:val="44"/>
          <w:lang w:val="en-US" w:eastAsia="zh-CN"/>
        </w:rPr>
        <w:t>21</w:t>
      </w:r>
      <w:r>
        <w:rPr>
          <w:rFonts w:hint="eastAsia" w:ascii="方正小标宋简体" w:hAnsi="方正小标宋简体" w:eastAsia="方正小标宋简体" w:cs="方正小标宋简体"/>
          <w:b w:val="0"/>
          <w:bCs w:val="0"/>
          <w:kern w:val="0"/>
          <w:sz w:val="44"/>
          <w:szCs w:val="44"/>
          <w:lang w:eastAsia="zh-CN"/>
        </w:rPr>
        <w:t>年</w:t>
      </w:r>
    </w:p>
    <w:p>
      <w:pPr>
        <w:pStyle w:val="7"/>
        <w:keepNext/>
        <w:keepLines/>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kern w:val="0"/>
          <w:sz w:val="44"/>
          <w:szCs w:val="44"/>
          <w:lang w:eastAsia="zh-CN"/>
        </w:rPr>
        <w:t>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宋体" w:hAnsi="宋体" w:eastAsia="宋体" w:cs="宋体"/>
          <w:b/>
          <w:i w:val="0"/>
          <w:caps w:val="0"/>
          <w:color w:val="333333"/>
          <w:spacing w:val="0"/>
          <w:sz w:val="24"/>
          <w:szCs w:val="24"/>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firstLine="640" w:firstLineChars="200"/>
        <w:jc w:val="left"/>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根据《中华人民共和国政府信息公开条例》有关规定，编制</w:t>
      </w:r>
      <w:r>
        <w:rPr>
          <w:rFonts w:hint="eastAsia" w:ascii="仿宋_GB2312" w:hAnsi="仿宋_GB2312" w:eastAsia="仿宋_GB2312" w:cs="宋体"/>
          <w:kern w:val="0"/>
          <w:sz w:val="32"/>
          <w:szCs w:val="32"/>
          <w:lang w:eastAsia="zh-CN"/>
        </w:rPr>
        <w:t>黑龙江省国资委</w:t>
      </w:r>
      <w:r>
        <w:rPr>
          <w:rFonts w:hint="eastAsia" w:ascii="仿宋_GB2312" w:hAnsi="仿宋_GB2312" w:eastAsia="仿宋_GB2312" w:cs="宋体"/>
          <w:kern w:val="0"/>
          <w:sz w:val="32"/>
          <w:szCs w:val="32"/>
          <w:lang w:val="en-US" w:eastAsia="zh-CN"/>
        </w:rPr>
        <w:t>2021</w:t>
      </w:r>
      <w:r>
        <w:rPr>
          <w:rFonts w:hint="eastAsia" w:ascii="仿宋_GB2312" w:hAnsi="仿宋_GB2312" w:eastAsia="仿宋_GB2312" w:cs="宋体"/>
          <w:kern w:val="0"/>
          <w:sz w:val="32"/>
          <w:szCs w:val="32"/>
        </w:rPr>
        <w:t>年度</w:t>
      </w:r>
      <w:r>
        <w:rPr>
          <w:rFonts w:hint="eastAsia" w:ascii="仿宋_GB2312" w:hAnsi="仿宋_GB2312" w:eastAsia="仿宋_GB2312" w:cs="宋体"/>
          <w:kern w:val="0"/>
          <w:sz w:val="32"/>
          <w:szCs w:val="32"/>
          <w:lang w:eastAsia="zh-CN"/>
        </w:rPr>
        <w:t>政府信息公开工作</w:t>
      </w:r>
      <w:r>
        <w:rPr>
          <w:rFonts w:hint="eastAsia" w:ascii="仿宋_GB2312" w:hAnsi="仿宋_GB2312" w:eastAsia="仿宋_GB2312" w:cs="宋体"/>
          <w:kern w:val="0"/>
          <w:sz w:val="32"/>
          <w:szCs w:val="32"/>
        </w:rPr>
        <w:t>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firstLine="707" w:firstLineChars="221"/>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11"/>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国资委为省政府直属特设机构，主要职责是根据省政府授权，履行出资人职责，承担监管企业国有资产的监督和管理工作。目前监管的主要企业共10户，包括：龙江森工集团、龙煤集团、建投集团、交投集团、产投集团、农投集团、航运集团、铁路集团、龙睿公司、交易集团。另外，机场管理集团为代管，龙裕集团已委托监狱管理局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国务院关于改革和完善国有资产管理体制的若干意见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《中华人民共和国企业国有资产管理法》</w:t>
      </w:r>
      <w:r>
        <w:rPr>
          <w:rFonts w:hint="eastAsia" w:ascii="仿宋_GB2312" w:hAnsi="仿宋_GB2312" w:eastAsia="仿宋_GB2312" w:cs="仿宋_GB2312"/>
          <w:sz w:val="32"/>
          <w:szCs w:val="32"/>
        </w:rPr>
        <w:t>《企业国有资产监督管理暂行条例》</w:t>
      </w:r>
      <w:r>
        <w:rPr>
          <w:rFonts w:hint="eastAsia" w:ascii="仿宋_GB2312" w:hAnsi="仿宋_GB2312" w:eastAsia="仿宋_GB2312" w:cs="仿宋_GB2312"/>
          <w:sz w:val="32"/>
          <w:szCs w:val="32"/>
          <w:lang w:val="en-US" w:eastAsia="zh-CN"/>
        </w:rPr>
        <w:t>要求，国资监管机构“专司国有资产监管，不行使政府公共管理职能；坚持政企分开，不干预企业自主经营权”，因此，国资监管机构不产生行政规范性文件，也没有行政许可、行政处罚、行政强制等行政权力。</w:t>
      </w:r>
    </w:p>
    <w:p>
      <w:pPr>
        <w:pStyle w:val="11"/>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2021年度，省国资委相继下发</w:t>
      </w:r>
      <w:r>
        <w:rPr>
          <w:rFonts w:hint="eastAsia" w:ascii="仿宋_GB2312" w:hAnsi="仿宋_GB2312" w:eastAsia="仿宋_GB2312" w:cs="仿宋_GB2312"/>
          <w:sz w:val="32"/>
          <w:szCs w:val="32"/>
        </w:rPr>
        <w:t>《关于推进出资企业信息公开的指导意见》</w:t>
      </w:r>
      <w:r>
        <w:rPr>
          <w:rFonts w:hint="eastAsia" w:ascii="仿宋_GB2312" w:hAnsi="仿宋_GB2312" w:eastAsia="仿宋_GB2312" w:cs="仿宋_GB2312"/>
          <w:sz w:val="32"/>
          <w:szCs w:val="32"/>
          <w:lang w:val="en-US" w:eastAsia="zh-CN"/>
        </w:rPr>
        <w:t>《关于印发</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黑龙江省国资委政务公开信息内容保障责任分工清单</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的通知》《关于印发</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黑龙江省国资委信息公开程序和保密审查实施办法</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的通知》。使省国资委政务公开工作规范性不断提高，执行性持续加强。2021年度，按照《国企改革三年行动》要求，省国资委出资企业及二三级重要子企业已实现100%建立信息公开工作制度，并相应地开展信息公开工作。</w:t>
      </w:r>
    </w:p>
    <w:p>
      <w:pPr>
        <w:pStyle w:val="11"/>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2021年度，省国资委门户网站主动公开信息1340</w:t>
      </w:r>
      <w:r>
        <w:rPr>
          <w:rFonts w:hint="eastAsia" w:ascii="仿宋_GB2312" w:eastAsia="仿宋_GB2312"/>
          <w:sz w:val="32"/>
          <w:szCs w:val="32"/>
        </w:rPr>
        <w:t>条，其中国资要闻</w:t>
      </w:r>
      <w:r>
        <w:rPr>
          <w:rFonts w:hint="eastAsia" w:ascii="仿宋_GB2312" w:hAnsi="仿宋_GB2312" w:eastAsia="仿宋_GB2312" w:cs="仿宋_GB2312"/>
          <w:sz w:val="32"/>
          <w:szCs w:val="32"/>
          <w:lang w:val="en-US" w:eastAsia="zh-CN"/>
        </w:rPr>
        <w:t>113</w:t>
      </w:r>
      <w:r>
        <w:rPr>
          <w:rFonts w:hint="eastAsia" w:ascii="仿宋_GB2312" w:eastAsia="仿宋_GB2312"/>
          <w:sz w:val="32"/>
          <w:szCs w:val="32"/>
        </w:rPr>
        <w:t>条，通知公告</w:t>
      </w:r>
      <w:r>
        <w:rPr>
          <w:rFonts w:hint="eastAsia" w:ascii="仿宋_GB2312" w:hAnsi="仿宋_GB2312" w:eastAsia="仿宋_GB2312" w:cs="仿宋_GB2312"/>
          <w:sz w:val="32"/>
          <w:szCs w:val="32"/>
          <w:lang w:val="en-US" w:eastAsia="zh-CN"/>
        </w:rPr>
        <w:t>26</w:t>
      </w:r>
      <w:r>
        <w:rPr>
          <w:rFonts w:hint="eastAsia" w:ascii="仿宋_GB2312" w:eastAsia="仿宋_GB2312"/>
          <w:sz w:val="32"/>
          <w:szCs w:val="32"/>
        </w:rPr>
        <w:t>条，工作动态</w:t>
      </w:r>
      <w:r>
        <w:rPr>
          <w:rFonts w:hint="eastAsia" w:ascii="仿宋_GB2312" w:hAnsi="仿宋_GB2312" w:eastAsia="仿宋_GB2312" w:cs="仿宋_GB2312"/>
          <w:sz w:val="32"/>
          <w:szCs w:val="32"/>
          <w:lang w:val="en-US" w:eastAsia="zh-CN"/>
        </w:rPr>
        <w:t>18</w:t>
      </w:r>
      <w:r>
        <w:rPr>
          <w:rFonts w:hint="eastAsia" w:ascii="仿宋_GB2312" w:eastAsia="仿宋_GB2312"/>
          <w:sz w:val="32"/>
          <w:szCs w:val="32"/>
        </w:rPr>
        <w:t>条，企业动态</w:t>
      </w:r>
      <w:r>
        <w:rPr>
          <w:rFonts w:hint="eastAsia" w:ascii="仿宋_GB2312" w:hAnsi="仿宋_GB2312" w:eastAsia="仿宋_GB2312" w:cs="仿宋_GB2312"/>
          <w:sz w:val="32"/>
          <w:szCs w:val="32"/>
          <w:lang w:val="en-US" w:eastAsia="zh-CN"/>
        </w:rPr>
        <w:t>680</w:t>
      </w:r>
      <w:r>
        <w:rPr>
          <w:rFonts w:hint="eastAsia" w:ascii="仿宋_GB2312" w:eastAsia="仿宋_GB2312"/>
          <w:sz w:val="32"/>
          <w:szCs w:val="32"/>
        </w:rPr>
        <w:t>条，机关党建</w:t>
      </w:r>
      <w:r>
        <w:rPr>
          <w:rFonts w:hint="eastAsia" w:ascii="仿宋_GB2312" w:hAnsi="仿宋_GB2312" w:eastAsia="仿宋_GB2312" w:cs="仿宋_GB2312"/>
          <w:sz w:val="32"/>
          <w:szCs w:val="32"/>
          <w:lang w:val="en-US" w:eastAsia="zh-CN"/>
        </w:rPr>
        <w:t>29</w:t>
      </w:r>
      <w:r>
        <w:rPr>
          <w:rFonts w:hint="eastAsia" w:ascii="仿宋_GB2312" w:eastAsia="仿宋_GB2312"/>
          <w:sz w:val="32"/>
          <w:szCs w:val="32"/>
        </w:rPr>
        <w:t>条，企业党建</w:t>
      </w:r>
      <w:r>
        <w:rPr>
          <w:rFonts w:hint="eastAsia" w:ascii="仿宋_GB2312" w:hAnsi="仿宋_GB2312" w:eastAsia="仿宋_GB2312" w:cs="仿宋_GB2312"/>
          <w:sz w:val="32"/>
          <w:szCs w:val="32"/>
          <w:lang w:val="en-US" w:eastAsia="zh-CN"/>
        </w:rPr>
        <w:t>248</w:t>
      </w:r>
      <w:r>
        <w:rPr>
          <w:rFonts w:hint="eastAsia" w:ascii="仿宋_GB2312" w:eastAsia="仿宋_GB2312"/>
          <w:sz w:val="32"/>
          <w:szCs w:val="32"/>
        </w:rPr>
        <w:t>条，规范性文件</w:t>
      </w:r>
      <w:r>
        <w:rPr>
          <w:rFonts w:hint="eastAsia" w:ascii="仿宋_GB2312" w:eastAsia="仿宋_GB2312"/>
          <w:sz w:val="32"/>
          <w:szCs w:val="32"/>
          <w:lang w:eastAsia="zh-CN"/>
        </w:rPr>
        <w:t>及</w:t>
      </w:r>
      <w:r>
        <w:rPr>
          <w:rFonts w:hint="eastAsia" w:ascii="仿宋_GB2312" w:eastAsia="仿宋_GB2312"/>
          <w:sz w:val="32"/>
          <w:szCs w:val="32"/>
        </w:rPr>
        <w:t>解读</w:t>
      </w:r>
      <w:r>
        <w:rPr>
          <w:rFonts w:hint="eastAsia" w:ascii="仿宋_GB2312" w:hAnsi="仿宋_GB2312" w:eastAsia="仿宋_GB2312" w:cs="仿宋_GB2312"/>
          <w:sz w:val="32"/>
          <w:szCs w:val="32"/>
          <w:lang w:val="en-US" w:eastAsia="zh-CN"/>
        </w:rPr>
        <w:t>4</w:t>
      </w:r>
      <w:r>
        <w:rPr>
          <w:rFonts w:hint="eastAsia" w:ascii="仿宋_GB2312" w:eastAsia="仿宋_GB2312"/>
          <w:sz w:val="32"/>
          <w:szCs w:val="32"/>
        </w:rPr>
        <w:t>条</w:t>
      </w:r>
      <w:r>
        <w:rPr>
          <w:rFonts w:hint="eastAsia" w:ascii="仿宋_GB2312" w:eastAsia="仿宋_GB2312"/>
          <w:sz w:val="32"/>
          <w:szCs w:val="32"/>
          <w:lang w:eastAsia="zh-CN"/>
        </w:rPr>
        <w:t>（含转载国务院国资委规范性文件），</w:t>
      </w:r>
      <w:r>
        <w:rPr>
          <w:rFonts w:hint="eastAsia" w:ascii="仿宋_GB2312" w:eastAsia="仿宋_GB2312"/>
          <w:sz w:val="32"/>
          <w:szCs w:val="32"/>
        </w:rPr>
        <w:t>其他信息</w:t>
      </w:r>
      <w:r>
        <w:rPr>
          <w:rFonts w:hint="eastAsia" w:ascii="仿宋_GB2312" w:hAnsi="仿宋_GB2312" w:eastAsia="仿宋_GB2312" w:cs="仿宋_GB2312"/>
          <w:sz w:val="32"/>
          <w:szCs w:val="32"/>
          <w:lang w:val="en-US" w:eastAsia="zh-CN"/>
        </w:rPr>
        <w:t>222</w:t>
      </w:r>
      <w:r>
        <w:rPr>
          <w:rFonts w:hint="eastAsia" w:ascii="仿宋_GB2312" w:eastAsia="仿宋_GB2312"/>
          <w:sz w:val="32"/>
          <w:szCs w:val="32"/>
        </w:rPr>
        <w:t>条。省国资委</w:t>
      </w:r>
      <w:r>
        <w:rPr>
          <w:rFonts w:hint="eastAsia" w:ascii="仿宋_GB2312" w:eastAsia="仿宋_GB2312"/>
          <w:sz w:val="32"/>
          <w:szCs w:val="32"/>
          <w:lang w:eastAsia="zh-CN"/>
        </w:rPr>
        <w:t>“龙江国资”微信公众号主动公开信息</w:t>
      </w:r>
      <w:r>
        <w:rPr>
          <w:rFonts w:hint="eastAsia" w:ascii="仿宋_GB2312" w:hAnsi="仿宋_GB2312" w:eastAsia="仿宋_GB2312" w:cs="仿宋_GB2312"/>
          <w:sz w:val="32"/>
          <w:szCs w:val="32"/>
          <w:lang w:val="en-US" w:eastAsia="zh-CN"/>
        </w:rPr>
        <w:t>1380</w:t>
      </w:r>
      <w:r>
        <w:rPr>
          <w:rFonts w:hint="eastAsia" w:ascii="仿宋_GB2312" w:eastAsia="仿宋_GB2312"/>
          <w:sz w:val="32"/>
          <w:szCs w:val="32"/>
          <w:lang w:val="en-US" w:eastAsia="zh-CN"/>
        </w:rPr>
        <w:t>条，其中</w:t>
      </w:r>
      <w:r>
        <w:rPr>
          <w:rFonts w:hint="eastAsia" w:ascii="仿宋_GB2312" w:eastAsia="仿宋_GB2312"/>
          <w:sz w:val="32"/>
          <w:szCs w:val="32"/>
          <w:lang w:eastAsia="zh-CN"/>
        </w:rPr>
        <w:t>国资要闻</w:t>
      </w:r>
      <w:r>
        <w:rPr>
          <w:rFonts w:hint="eastAsia" w:ascii="仿宋_GB2312" w:hAnsi="仿宋_GB2312" w:eastAsia="仿宋_GB2312" w:cs="仿宋_GB2312"/>
          <w:sz w:val="32"/>
          <w:szCs w:val="32"/>
          <w:lang w:val="en-US" w:eastAsia="zh-CN"/>
        </w:rPr>
        <w:t>170</w:t>
      </w:r>
      <w:r>
        <w:rPr>
          <w:rFonts w:hint="eastAsia" w:ascii="仿宋_GB2312" w:eastAsia="仿宋_GB2312"/>
          <w:sz w:val="32"/>
          <w:szCs w:val="32"/>
          <w:lang w:val="en-US" w:eastAsia="zh-CN"/>
        </w:rPr>
        <w:t>条，国企动态497条，党建工作</w:t>
      </w:r>
      <w:r>
        <w:rPr>
          <w:rFonts w:hint="eastAsia" w:ascii="仿宋_GB2312" w:hAnsi="仿宋_GB2312" w:eastAsia="仿宋_GB2312" w:cs="仿宋_GB2312"/>
          <w:sz w:val="32"/>
          <w:szCs w:val="32"/>
          <w:lang w:val="en-US" w:eastAsia="zh-CN"/>
        </w:rPr>
        <w:t>272</w:t>
      </w:r>
      <w:r>
        <w:rPr>
          <w:rFonts w:hint="eastAsia" w:ascii="仿宋_GB2312" w:eastAsia="仿宋_GB2312"/>
          <w:sz w:val="32"/>
          <w:szCs w:val="32"/>
          <w:lang w:val="en-US" w:eastAsia="zh-CN"/>
        </w:rPr>
        <w:t>条，其他信息</w:t>
      </w:r>
      <w:r>
        <w:rPr>
          <w:rFonts w:hint="eastAsia" w:ascii="仿宋_GB2312" w:hAnsi="仿宋_GB2312" w:eastAsia="仿宋_GB2312" w:cs="仿宋_GB2312"/>
          <w:sz w:val="32"/>
          <w:szCs w:val="32"/>
          <w:lang w:val="en-US" w:eastAsia="zh-CN"/>
        </w:rPr>
        <w:t>441</w:t>
      </w:r>
      <w:r>
        <w:rPr>
          <w:rFonts w:hint="eastAsia" w:ascii="仿宋_GB2312" w:eastAsia="仿宋_GB2312"/>
          <w:sz w:val="32"/>
          <w:szCs w:val="32"/>
          <w:lang w:val="en-US" w:eastAsia="zh-CN"/>
        </w:rPr>
        <w:t>条</w:t>
      </w:r>
      <w:r>
        <w:rPr>
          <w:rFonts w:hint="eastAsia" w:ascii="仿宋_GB2312" w:eastAsia="仿宋_GB2312"/>
          <w:sz w:val="32"/>
          <w:szCs w:val="32"/>
        </w:rPr>
        <w:t>。</w:t>
      </w:r>
    </w:p>
    <w:p>
      <w:pPr>
        <w:pStyle w:val="11"/>
        <w:ind w:firstLine="640" w:firstLineChars="200"/>
        <w:rPr>
          <w:rFonts w:hint="default" w:ascii="仿宋_GB2312" w:eastAsia="仿宋_GB2312"/>
          <w:sz w:val="32"/>
          <w:szCs w:val="32"/>
          <w:lang w:val="en-US" w:eastAsia="zh-CN"/>
        </w:rPr>
      </w:pPr>
      <w:r>
        <w:rPr>
          <w:rFonts w:hint="eastAsia" w:ascii="仿宋" w:hAnsi="仿宋" w:eastAsia="仿宋" w:cs="仿宋"/>
          <w:sz w:val="32"/>
          <w:szCs w:val="32"/>
          <w:lang w:val="en-US" w:eastAsia="zh-CN"/>
        </w:rPr>
        <w:t>省国资委始终把依申请公开当作信息公开工作的重中之重，在工作中，我们坚持受理依申请公开、“省长信箱”、“网上咨询”的程序和质量不降低，同时我们牢记职责，坚持微笑服务和认真答复，力争使申请人、留言人、咨询人的满意。</w:t>
      </w:r>
      <w:r>
        <w:rPr>
          <w:rFonts w:hint="eastAsia" w:ascii="仿宋_GB2312" w:eastAsia="仿宋_GB2312"/>
          <w:sz w:val="32"/>
          <w:szCs w:val="32"/>
          <w:lang w:val="en-US" w:eastAsia="zh-CN"/>
        </w:rPr>
        <w:t>2021年度，省国资委共受理依申请公开</w:t>
      </w:r>
      <w:r>
        <w:rPr>
          <w:rFonts w:hint="eastAsia" w:ascii="仿宋_GB2312" w:hAnsi="仿宋_GB2312" w:eastAsia="仿宋_GB2312" w:cs="仿宋_GB2312"/>
          <w:sz w:val="32"/>
          <w:szCs w:val="32"/>
          <w:lang w:val="en-US" w:eastAsia="zh-CN"/>
        </w:rPr>
        <w:t>18</w:t>
      </w:r>
      <w:r>
        <w:rPr>
          <w:rFonts w:hint="eastAsia" w:ascii="仿宋_GB2312" w:eastAsia="仿宋_GB2312"/>
          <w:sz w:val="32"/>
          <w:szCs w:val="32"/>
          <w:lang w:val="en-US" w:eastAsia="zh-CN"/>
        </w:rPr>
        <w:t>件，其中网上申请</w:t>
      </w:r>
      <w:r>
        <w:rPr>
          <w:rFonts w:hint="eastAsia" w:ascii="仿宋_GB2312" w:hAnsi="仿宋_GB2312" w:eastAsia="仿宋_GB2312" w:cs="仿宋_GB2312"/>
          <w:sz w:val="32"/>
          <w:szCs w:val="32"/>
          <w:lang w:val="en-US" w:eastAsia="zh-CN"/>
        </w:rPr>
        <w:t>16</w:t>
      </w:r>
      <w:r>
        <w:rPr>
          <w:rFonts w:hint="eastAsia" w:ascii="仿宋_GB2312" w:eastAsia="仿宋_GB2312"/>
          <w:sz w:val="32"/>
          <w:szCs w:val="32"/>
          <w:lang w:val="en-US" w:eastAsia="zh-CN"/>
        </w:rPr>
        <w:t>条，邮箱申请</w:t>
      </w:r>
      <w:r>
        <w:rPr>
          <w:rFonts w:hint="eastAsia" w:ascii="仿宋_GB2312" w:hAnsi="仿宋_GB2312" w:eastAsia="仿宋_GB2312" w:cs="仿宋_GB2312"/>
          <w:sz w:val="32"/>
          <w:szCs w:val="32"/>
          <w:lang w:val="en-US" w:eastAsia="zh-CN"/>
        </w:rPr>
        <w:t>1</w:t>
      </w:r>
      <w:r>
        <w:rPr>
          <w:rFonts w:hint="eastAsia" w:ascii="仿宋_GB2312" w:eastAsia="仿宋_GB2312"/>
          <w:sz w:val="32"/>
          <w:szCs w:val="32"/>
          <w:lang w:val="en-US" w:eastAsia="zh-CN"/>
        </w:rPr>
        <w:t>条，省政府政务公开办转交1条。在所有依申请公开中3件属于重复申请，9件属于非省国资委职责范围，以上申请均按时限回复申请人。另外，省国资委共受理“人民网省长信箱留言”7件，共受理“网上咨询”16件。</w:t>
      </w:r>
    </w:p>
    <w:p>
      <w:pPr>
        <w:pStyle w:val="11"/>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2021年度，省国资委共报送信息94篇，其中报送至省政府网站66篇，39篇被采纳，报送至国务院国资委网站28篇，20篇被采纳。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二、主动公开政府信息情况</w:t>
      </w:r>
    </w:p>
    <w:tbl>
      <w:tblPr>
        <w:tblStyle w:val="6"/>
        <w:tblW w:w="8840" w:type="dxa"/>
        <w:jc w:val="center"/>
        <w:tblInd w:w="-351" w:type="dxa"/>
        <w:shd w:val="clear" w:color="auto" w:fill="auto"/>
        <w:tblLayout w:type="fixed"/>
        <w:tblCellMar>
          <w:top w:w="15" w:type="dxa"/>
          <w:left w:w="15" w:type="dxa"/>
          <w:bottom w:w="15" w:type="dxa"/>
          <w:right w:w="15" w:type="dxa"/>
        </w:tblCellMar>
      </w:tblPr>
      <w:tblGrid>
        <w:gridCol w:w="2210"/>
        <w:gridCol w:w="2210"/>
        <w:gridCol w:w="2210"/>
        <w:gridCol w:w="2210"/>
      </w:tblGrid>
      <w:tr>
        <w:tblPrEx>
          <w:shd w:val="clear" w:color="auto" w:fill="auto"/>
          <w:tblLayout w:type="fixed"/>
          <w:tblCellMar>
            <w:top w:w="15" w:type="dxa"/>
            <w:left w:w="15" w:type="dxa"/>
            <w:bottom w:w="15" w:type="dxa"/>
            <w:right w:w="15" w:type="dxa"/>
          </w:tblCellMar>
        </w:tblPrEx>
        <w:trPr>
          <w:trHeight w:val="371" w:hRule="atLeas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2210"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w:t>
            </w:r>
            <w:r>
              <w:rPr>
                <w:rFonts w:ascii="Calibri" w:hAnsi="Calibri" w:cs="Calibri" w:eastAsiaTheme="minorEastAsia"/>
                <w:color w:val="000000"/>
                <w:kern w:val="0"/>
                <w:sz w:val="20"/>
                <w:szCs w:val="20"/>
                <w:lang w:val="en-US" w:eastAsia="zh-CN" w:bidi="ar"/>
              </w:rPr>
              <w:t>制</w:t>
            </w:r>
            <w:r>
              <w:rPr>
                <w:rFonts w:hint="eastAsia" w:ascii="宋体" w:hAnsi="宋体" w:eastAsia="宋体" w:cs="宋体"/>
                <w:color w:val="000000"/>
                <w:kern w:val="0"/>
                <w:sz w:val="20"/>
                <w:szCs w:val="20"/>
                <w:lang w:val="en-US" w:eastAsia="zh-CN" w:bidi="ar"/>
              </w:rPr>
              <w:t>发件</w:t>
            </w:r>
            <w:r>
              <w:rPr>
                <w:rFonts w:hint="default" w:ascii="Calibri" w:hAnsi="Calibri" w:cs="Calibri" w:eastAsiaTheme="minorEastAsia"/>
                <w:color w:val="000000"/>
                <w:kern w:val="0"/>
                <w:sz w:val="20"/>
                <w:szCs w:val="20"/>
                <w:lang w:val="en-US" w:eastAsia="zh-CN" w:bidi="ar"/>
              </w:rPr>
              <w:t>数</w:t>
            </w:r>
          </w:p>
        </w:tc>
        <w:tc>
          <w:tcPr>
            <w:tcW w:w="2210"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本年废止件数</w:t>
            </w:r>
          </w:p>
        </w:tc>
        <w:tc>
          <w:tcPr>
            <w:tcW w:w="2210"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现行有效件</w:t>
            </w:r>
            <w:r>
              <w:rPr>
                <w:rFonts w:hint="default" w:ascii="Calibri" w:hAnsi="Calibri" w:cs="Calibri" w:eastAsiaTheme="minorEastAsia"/>
                <w:color w:val="000000"/>
                <w:kern w:val="0"/>
                <w:sz w:val="20"/>
                <w:szCs w:val="20"/>
                <w:lang w:val="en-US" w:eastAsia="zh-CN" w:bidi="ar"/>
              </w:rPr>
              <w:t>数</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221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221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221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行政规范性文件</w:t>
            </w:r>
          </w:p>
        </w:tc>
        <w:tc>
          <w:tcPr>
            <w:tcW w:w="221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21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221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default" w:ascii="Calibri" w:hAnsi="Calibri" w:cs="Calibri" w:eastAsiaTheme="minorEastAsia"/>
                <w:color w:val="000000"/>
                <w:kern w:val="0"/>
                <w:sz w:val="21"/>
                <w:szCs w:val="21"/>
                <w:lang w:val="en-US" w:eastAsia="zh-CN" w:bidi="ar"/>
              </w:rPr>
              <w:t> </w:t>
            </w:r>
            <w:r>
              <w:rPr>
                <w:rFonts w:hint="eastAsia" w:cs="Calibri" w:eastAsiaTheme="minorEastAsia"/>
                <w:color w:val="000000"/>
                <w:kern w:val="0"/>
                <w:sz w:val="21"/>
                <w:szCs w:val="21"/>
                <w:lang w:val="en-US" w:eastAsia="zh-CN" w:bidi="ar"/>
              </w:rPr>
              <w:t>0</w:t>
            </w:r>
          </w:p>
        </w:tc>
      </w:tr>
      <w:tr>
        <w:tblPrEx>
          <w:tblLayout w:type="fixed"/>
          <w:tblCellMar>
            <w:top w:w="15" w:type="dxa"/>
            <w:left w:w="15" w:type="dxa"/>
            <w:bottom w:w="15" w:type="dxa"/>
            <w:right w:w="15" w:type="dxa"/>
          </w:tblCellMar>
        </w:tblPrEx>
        <w:trPr>
          <w:trHeight w:val="371" w:hRule="atLeast"/>
          <w:jc w:val="center"/>
        </w:trPr>
        <w:tc>
          <w:tcPr>
            <w:tcW w:w="88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6630"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6630"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 xml:space="preserve">   0</w:t>
            </w:r>
          </w:p>
        </w:tc>
      </w:tr>
      <w:tr>
        <w:tblPrEx>
          <w:tblLayout w:type="fixed"/>
          <w:tblCellMar>
            <w:top w:w="15" w:type="dxa"/>
            <w:left w:w="15" w:type="dxa"/>
            <w:bottom w:w="15" w:type="dxa"/>
            <w:right w:w="15" w:type="dxa"/>
          </w:tblCellMar>
        </w:tblPrEx>
        <w:trPr>
          <w:trHeight w:val="371" w:hRule="atLeast"/>
          <w:jc w:val="center"/>
        </w:trPr>
        <w:tc>
          <w:tcPr>
            <w:tcW w:w="88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信息内容</w:t>
            </w:r>
          </w:p>
        </w:tc>
        <w:tc>
          <w:tcPr>
            <w:tcW w:w="6630"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6630"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left"/>
              <w:rPr>
                <w:color w:val="000000"/>
                <w:lang w:val="en-US"/>
              </w:rPr>
            </w:pPr>
            <w:r>
              <w:rPr>
                <w:rFonts w:hint="eastAsia" w:ascii="宋体" w:hAnsi="宋体" w:eastAsia="宋体" w:cs="宋体"/>
                <w:color w:val="000000"/>
                <w:kern w:val="0"/>
                <w:sz w:val="20"/>
                <w:szCs w:val="20"/>
                <w:lang w:val="en-US" w:eastAsia="zh-CN" w:bidi="ar"/>
              </w:rPr>
              <w:t>0</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6630"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r>
      <w:tr>
        <w:tblPrEx>
          <w:tblLayout w:type="fixed"/>
          <w:tblCellMar>
            <w:top w:w="15" w:type="dxa"/>
            <w:left w:w="15" w:type="dxa"/>
            <w:bottom w:w="15" w:type="dxa"/>
            <w:right w:w="15" w:type="dxa"/>
          </w:tblCellMar>
        </w:tblPrEx>
        <w:trPr>
          <w:trHeight w:val="371" w:hRule="atLeast"/>
          <w:jc w:val="center"/>
        </w:trPr>
        <w:tc>
          <w:tcPr>
            <w:tcW w:w="88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Layout w:type="fixed"/>
          <w:tblCellMar>
            <w:top w:w="15" w:type="dxa"/>
            <w:left w:w="15" w:type="dxa"/>
            <w:bottom w:w="15" w:type="dxa"/>
            <w:right w:w="15" w:type="dxa"/>
          </w:tblCellMar>
        </w:tblPrEx>
        <w:trPr>
          <w:trHeight w:val="371"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6630"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15" w:type="dxa"/>
            <w:left w:w="15" w:type="dxa"/>
            <w:bottom w:w="15" w:type="dxa"/>
            <w:right w:w="15" w:type="dxa"/>
          </w:tblCellMar>
        </w:tblPrEx>
        <w:trPr>
          <w:trHeight w:val="462" w:hRule="atLeast"/>
          <w:jc w:val="center"/>
        </w:trPr>
        <w:tc>
          <w:tcPr>
            <w:tcW w:w="2210"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6630"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 xml:space="preserve">   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三、收到和处理政府信息公开申请情况</w:t>
      </w:r>
    </w:p>
    <w:tbl>
      <w:tblPr>
        <w:tblStyle w:val="6"/>
        <w:tblW w:w="8800" w:type="dxa"/>
        <w:jc w:val="center"/>
        <w:tblInd w:w="-30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2"/>
        <w:gridCol w:w="852"/>
        <w:gridCol w:w="2907"/>
        <w:gridCol w:w="620"/>
        <w:gridCol w:w="620"/>
        <w:gridCol w:w="623"/>
        <w:gridCol w:w="620"/>
        <w:gridCol w:w="623"/>
        <w:gridCol w:w="621"/>
        <w:gridCol w:w="6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47" w:hRule="atLeast"/>
          <w:jc w:val="center"/>
        </w:trPr>
        <w:tc>
          <w:tcPr>
            <w:tcW w:w="4451"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ascii="楷体" w:hAnsi="楷体" w:eastAsia="楷体" w:cs="楷体"/>
                <w:color w:val="000000"/>
                <w:kern w:val="0"/>
                <w:sz w:val="20"/>
                <w:szCs w:val="20"/>
                <w:lang w:val="en-US" w:eastAsia="zh-CN" w:bidi="ar"/>
              </w:rPr>
              <w:t>（本列数据的勾稽关系为：第一项加第二项之和，等于第三项加第四项之和）</w:t>
            </w:r>
          </w:p>
        </w:tc>
        <w:tc>
          <w:tcPr>
            <w:tcW w:w="4349"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445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20"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3107"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22"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00" w:hRule="atLeast"/>
          <w:jc w:val="center"/>
        </w:trPr>
        <w:tc>
          <w:tcPr>
            <w:tcW w:w="445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20"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企业</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机构</w:t>
            </w:r>
          </w:p>
        </w:tc>
        <w:tc>
          <w:tcPr>
            <w:tcW w:w="620"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623"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621"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22"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445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1</w:t>
            </w:r>
            <w:r>
              <w:rPr>
                <w:rFonts w:hint="eastAsia" w:cs="Calibri"/>
                <w:color w:val="000000"/>
                <w:kern w:val="0"/>
                <w:sz w:val="20"/>
                <w:szCs w:val="20"/>
                <w:lang w:val="en-US" w:eastAsia="zh-CN" w:bidi="ar"/>
              </w:rPr>
              <w:t>8</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color w:val="000000"/>
                <w:lang w:val="en-US"/>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445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三、本年度办理结果</w:t>
            </w:r>
          </w:p>
        </w:tc>
        <w:tc>
          <w:tcPr>
            <w:tcW w:w="3759"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（一）予以公开</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lang w:val="en-US" w:eastAsia="zh-CN"/>
              </w:rPr>
            </w:pPr>
            <w:r>
              <w:rPr>
                <w:rFonts w:hint="eastAsia"/>
                <w:color w:val="000000"/>
                <w:lang w:val="en-US" w:eastAsia="zh-CN"/>
              </w:rPr>
              <w:t>4</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3"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759"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1</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（三）不予公开</w:t>
            </w: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1.属于国家秘密</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lang w:val="en-US" w:eastAsia="zh-CN"/>
              </w:rPr>
            </w:pPr>
            <w:r>
              <w:rPr>
                <w:rFonts w:hint="eastAsia"/>
                <w:color w:val="000000"/>
                <w:lang w:val="en-US" w:eastAsia="zh-CN"/>
              </w:rPr>
              <w:t>3</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lang w:val="en-US" w:eastAsia="zh-CN"/>
              </w:rPr>
            </w:pPr>
            <w:r>
              <w:rPr>
                <w:rFonts w:hint="eastAsia"/>
                <w:color w:val="00000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2.其他法律行政法规禁止公开</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3.危及“三安全一稳定”</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4.保护第三方合法权益</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5.属于三类内部事务信息</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lang w:val="en-US"/>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6.属于四类过程性信息</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7.属于行政执法案卷</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8.属于行政查询事项</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（四）无法提供</w:t>
            </w: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1.本机关不掌握相关政府信息</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olor w:val="000000"/>
                <w:lang w:val="en-US" w:eastAsia="zh-CN"/>
              </w:rPr>
            </w:pPr>
            <w:r>
              <w:rPr>
                <w:rFonts w:hint="eastAsia"/>
                <w:color w:val="000000"/>
                <w:lang w:val="en-US" w:eastAsia="zh-CN"/>
              </w:rPr>
              <w:t>6</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2.没有现成信息需要另行制作</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1</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3.补正后申请内容仍不明确</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（五）不予处理</w:t>
            </w: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1.信访举报投诉类申请</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2.重复申请</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olor w:val="000000"/>
                <w:lang w:val="en-US" w:eastAsia="zh-CN"/>
              </w:rPr>
            </w:pPr>
            <w:r>
              <w:rPr>
                <w:rFonts w:hint="eastAsia"/>
                <w:color w:val="000000"/>
                <w:lang w:val="en-US" w:eastAsia="zh-CN"/>
              </w:rPr>
              <w:t>3</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lang w:val="en-US"/>
              </w:rPr>
            </w:pPr>
            <w:r>
              <w:rPr>
                <w:rFonts w:hint="eastAsia" w:cs="Calibri" w:eastAsiaTheme="minorEastAsia"/>
                <w:color w:val="000000"/>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3.要求提供公开出版物</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4.无正当理由大量反复申请</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3"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5.要求行政机关确认或重新出具已获取信息</w:t>
            </w:r>
          </w:p>
        </w:tc>
        <w:tc>
          <w:tcPr>
            <w:tcW w:w="620"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00"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restart"/>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（六）其他处理</w:t>
            </w: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00"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852"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2907"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3.其他</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olor w:val="000000"/>
                <w:lang w:val="en-US" w:eastAsia="zh-CN"/>
              </w:rPr>
            </w:pPr>
            <w:r>
              <w:rPr>
                <w:rFonts w:hint="eastAsia"/>
                <w:color w:val="000000"/>
                <w:lang w:val="en-US" w:eastAsia="zh-CN"/>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olor w:val="000000"/>
                <w:lang w:val="en-US" w:eastAsia="zh-CN"/>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692"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759"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（七）总计</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olor w:val="000000"/>
                <w:lang w:val="en-US" w:eastAsia="zh-CN"/>
              </w:rPr>
            </w:pPr>
            <w:r>
              <w:rPr>
                <w:rFonts w:hint="eastAsia"/>
                <w:color w:val="000000"/>
                <w:lang w:val="en-US" w:eastAsia="zh-CN"/>
              </w:rPr>
              <w:t>18</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lang w:val="en-US"/>
              </w:rPr>
            </w:pPr>
            <w:r>
              <w:rPr>
                <w:rFonts w:hint="eastAsia" w:cs="Calibri" w:eastAsiaTheme="minorEastAsia"/>
                <w:color w:val="000000"/>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68" w:hRule="atLeast"/>
          <w:jc w:val="center"/>
        </w:trPr>
        <w:tc>
          <w:tcPr>
            <w:tcW w:w="445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3"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1"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cs="Calibri" w:eastAsiaTheme="minorEastAsia"/>
                <w:color w:val="000000"/>
                <w:kern w:val="0"/>
                <w:sz w:val="20"/>
                <w:szCs w:val="20"/>
                <w:lang w:val="en-US" w:eastAsia="zh-CN" w:bidi="ar"/>
              </w:rPr>
              <w:t>0</w:t>
            </w:r>
          </w:p>
        </w:tc>
        <w:tc>
          <w:tcPr>
            <w:tcW w:w="622"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000000"/>
                <w:sz w:val="24"/>
                <w:szCs w:val="24"/>
              </w:rPr>
            </w:pPr>
            <w:r>
              <w:rPr>
                <w:rFonts w:hint="eastAsia" w:cs="Calibri" w:eastAsiaTheme="minorEastAsia"/>
                <w:color w:val="000000"/>
                <w:kern w:val="0"/>
                <w:sz w:val="20"/>
                <w:szCs w:val="20"/>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四、政府信息公开行政复议、行政诉讼情况</w:t>
      </w:r>
    </w:p>
    <w:tbl>
      <w:tblPr>
        <w:tblStyle w:val="6"/>
        <w:tblW w:w="8800" w:type="dxa"/>
        <w:jc w:val="center"/>
        <w:tblInd w:w="-186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84"/>
        <w:gridCol w:w="644"/>
        <w:gridCol w:w="644"/>
        <w:gridCol w:w="646"/>
        <w:gridCol w:w="442"/>
        <w:gridCol w:w="657"/>
        <w:gridCol w:w="657"/>
        <w:gridCol w:w="657"/>
        <w:gridCol w:w="659"/>
        <w:gridCol w:w="443"/>
        <w:gridCol w:w="663"/>
        <w:gridCol w:w="663"/>
        <w:gridCol w:w="663"/>
        <w:gridCol w:w="664"/>
        <w:gridCol w:w="4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60" w:hRule="atLeast"/>
          <w:jc w:val="center"/>
        </w:trPr>
        <w:tc>
          <w:tcPr>
            <w:tcW w:w="266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行政复议</w:t>
            </w:r>
          </w:p>
        </w:tc>
        <w:tc>
          <w:tcPr>
            <w:tcW w:w="6140" w:type="dxa"/>
            <w:gridSpan w:val="10"/>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60" w:hRule="atLeast"/>
          <w:jc w:val="center"/>
        </w:trPr>
        <w:tc>
          <w:tcPr>
            <w:tcW w:w="28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jc w:val="center"/>
              <w:textAlignment w:val="auto"/>
              <w:outlineLvl w:val="9"/>
              <w:rPr>
                <w:color w:val="000000"/>
              </w:rPr>
            </w:pPr>
            <w:r>
              <w:rPr>
                <w:rFonts w:hint="eastAsia" w:ascii="宋体" w:hAnsi="宋体" w:eastAsia="宋体" w:cs="宋体"/>
                <w:color w:val="000000"/>
                <w:kern w:val="0"/>
                <w:sz w:val="20"/>
                <w:szCs w:val="20"/>
                <w:lang w:val="en-US" w:eastAsia="zh-CN" w:bidi="ar"/>
              </w:rPr>
              <w:t>结果维持</w:t>
            </w:r>
          </w:p>
        </w:tc>
        <w:tc>
          <w:tcPr>
            <w:tcW w:w="64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结果纠正</w:t>
            </w:r>
          </w:p>
        </w:tc>
        <w:tc>
          <w:tcPr>
            <w:tcW w:w="644"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其他结果</w:t>
            </w:r>
          </w:p>
        </w:tc>
        <w:tc>
          <w:tcPr>
            <w:tcW w:w="646"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000000"/>
              </w:rPr>
            </w:pPr>
            <w:r>
              <w:rPr>
                <w:rFonts w:hint="eastAsia" w:ascii="宋体" w:hAnsi="宋体" w:eastAsia="宋体" w:cs="宋体"/>
                <w:color w:val="000000"/>
                <w:kern w:val="0"/>
                <w:sz w:val="20"/>
                <w:szCs w:val="20"/>
                <w:lang w:val="en-US" w:eastAsia="zh-CN" w:bidi="ar"/>
              </w:rPr>
              <w:t>审结</w:t>
            </w:r>
          </w:p>
        </w:tc>
        <w:tc>
          <w:tcPr>
            <w:tcW w:w="4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3073"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067"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2" w:hRule="atLeast"/>
          <w:jc w:val="center"/>
        </w:trPr>
        <w:tc>
          <w:tcPr>
            <w:tcW w:w="28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4"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6"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4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57"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维持</w:t>
            </w:r>
          </w:p>
        </w:tc>
        <w:tc>
          <w:tcPr>
            <w:tcW w:w="657"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结果纠正</w:t>
            </w:r>
          </w:p>
        </w:tc>
        <w:tc>
          <w:tcPr>
            <w:tcW w:w="657"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其他结果</w:t>
            </w:r>
          </w:p>
        </w:tc>
        <w:tc>
          <w:tcPr>
            <w:tcW w:w="659"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尚未审结</w:t>
            </w:r>
          </w:p>
        </w:tc>
        <w:tc>
          <w:tcPr>
            <w:tcW w:w="4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66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结果维持</w:t>
            </w:r>
          </w:p>
        </w:tc>
        <w:tc>
          <w:tcPr>
            <w:tcW w:w="66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结果纠正</w:t>
            </w:r>
          </w:p>
        </w:tc>
        <w:tc>
          <w:tcPr>
            <w:tcW w:w="66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其他结果</w:t>
            </w:r>
          </w:p>
        </w:tc>
        <w:tc>
          <w:tcPr>
            <w:tcW w:w="664"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尚未审结</w:t>
            </w:r>
          </w:p>
        </w:tc>
        <w:tc>
          <w:tcPr>
            <w:tcW w:w="414"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58" w:hRule="atLeast"/>
          <w:jc w:val="center"/>
        </w:trPr>
        <w:tc>
          <w:tcPr>
            <w:tcW w:w="28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lang w:val="en-US"/>
              </w:rPr>
            </w:pPr>
            <w:r>
              <w:rPr>
                <w:rFonts w:hint="eastAsia" w:ascii="黑体" w:hAnsi="宋体" w:eastAsia="黑体" w:cs="黑体"/>
                <w:color w:val="000000"/>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lang w:val="en-US"/>
              </w:rPr>
            </w:pPr>
            <w:r>
              <w:rPr>
                <w:rFonts w:hint="eastAsia" w:ascii="黑体" w:hAnsi="宋体" w:eastAsia="黑体" w:cs="黑体"/>
                <w:color w:val="000000"/>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64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4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color w:val="000000"/>
                <w:lang w:val="en-US" w:eastAsia="zh-CN"/>
              </w:rPr>
            </w:pPr>
            <w:r>
              <w:rPr>
                <w:rFonts w:hint="eastAsia"/>
                <w:color w:val="000000"/>
                <w:lang w:val="en-US" w:eastAsia="zh-CN"/>
              </w:rPr>
              <w:t>0</w:t>
            </w:r>
          </w:p>
        </w:tc>
        <w:tc>
          <w:tcPr>
            <w:tcW w:w="657"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657"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lang w:val="en-US"/>
              </w:rPr>
            </w:pPr>
            <w:r>
              <w:rPr>
                <w:rFonts w:hint="eastAsia" w:ascii="黑体" w:hAnsi="宋体" w:eastAsia="黑体" w:cs="黑体"/>
                <w:color w:val="000000"/>
                <w:kern w:val="0"/>
                <w:sz w:val="20"/>
                <w:szCs w:val="20"/>
                <w:lang w:val="en-US" w:eastAsia="zh-CN" w:bidi="ar"/>
              </w:rPr>
              <w:t>0</w:t>
            </w:r>
          </w:p>
        </w:tc>
        <w:tc>
          <w:tcPr>
            <w:tcW w:w="657"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659"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4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lang w:val="en-US"/>
              </w:rPr>
            </w:pPr>
            <w:r>
              <w:rPr>
                <w:rFonts w:hint="eastAsia" w:ascii="黑体" w:hAnsi="宋体" w:eastAsia="黑体" w:cs="黑体"/>
                <w:color w:val="000000"/>
                <w:kern w:val="0"/>
                <w:sz w:val="20"/>
                <w:szCs w:val="20"/>
                <w:lang w:val="en-US" w:eastAsia="zh-CN" w:bidi="ar"/>
              </w:rPr>
              <w:t>0</w:t>
            </w:r>
          </w:p>
        </w:tc>
        <w:tc>
          <w:tcPr>
            <w:tcW w:w="66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66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66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66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w:t>
            </w:r>
          </w:p>
        </w:tc>
        <w:tc>
          <w:tcPr>
            <w:tcW w:w="41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jc w:val="cente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10"/>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（一）依申请公开信息处理难度越来越大。</w:t>
      </w:r>
      <w:r>
        <w:rPr>
          <w:rFonts w:hint="eastAsia" w:ascii="仿宋" w:hAnsi="仿宋" w:eastAsia="仿宋" w:cs="仿宋"/>
          <w:sz w:val="32"/>
          <w:szCs w:val="32"/>
          <w:lang w:val="en-US" w:eastAsia="zh-CN"/>
        </w:rPr>
        <w:t>2021年，我委共受理依申请公开信息18件。存在同一个申请人变换角度实质是申请同一事项的现象，存在50%申请不属于我委工作范畴的现象，还存在申请变更入党志愿誓词的现象，这些都给我们工作造成困扰。真心希望公众能够理性面对自己依申请公开的权力，要清楚应该向谁申请、申请什么内容，而不是投石问路、变相信访，甚至无理取闹。</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（二）应当继续加大政务公开工作的力量投入。</w:t>
      </w:r>
      <w:r>
        <w:rPr>
          <w:rFonts w:hint="eastAsia" w:ascii="仿宋" w:hAnsi="仿宋" w:eastAsia="仿宋" w:cs="仿宋"/>
          <w:sz w:val="32"/>
          <w:szCs w:val="32"/>
          <w:lang w:val="en-US" w:eastAsia="zh-CN"/>
        </w:rPr>
        <w:t>省国资委门户网站和微信公众号信息发布，国务院国资委、省政府、省委网信办等部门的信息报送，依申请公开、“省长信箱”和网上咨询按程序回复，网站的管理等等，政务公开工作日益繁杂，而各单位基本都是兼职工作，政务公开工作的力量仍显薄弱。</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（三）内容中文字表达仍然不规范。</w:t>
      </w:r>
      <w:r>
        <w:rPr>
          <w:rFonts w:hint="eastAsia" w:ascii="仿宋" w:hAnsi="仿宋" w:eastAsia="仿宋" w:cs="仿宋"/>
          <w:sz w:val="32"/>
          <w:szCs w:val="32"/>
          <w:lang w:val="en-US" w:eastAsia="zh-CN"/>
        </w:rPr>
        <w:t>2021年初以来，我委2次接到政府办公厅政务中心错情通知，分别指出我委网站中规范性词语出现问题</w:t>
      </w:r>
      <w:bookmarkStart w:id="0" w:name="_GoBack"/>
      <w:bookmarkEnd w:id="0"/>
      <w:r>
        <w:rPr>
          <w:rFonts w:hint="eastAsia" w:ascii="仿宋" w:hAnsi="仿宋" w:eastAsia="仿宋" w:cs="仿宋"/>
          <w:sz w:val="32"/>
          <w:szCs w:val="32"/>
          <w:lang w:val="en-US" w:eastAsia="zh-CN"/>
        </w:rPr>
        <w:t>。主动公开的信息量不断加大的同时，对我们信息内容的审核也提出了更高的要求。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rPr>
        <w:t>六、其他需要报告的事项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sectPr>
      <w:footerReference r:id="rId3" w:type="default"/>
      <w:pgSz w:w="11906" w:h="16838"/>
      <w:pgMar w:top="1440" w:right="1463"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9190A"/>
    <w:rsid w:val="04026BDD"/>
    <w:rsid w:val="062E2394"/>
    <w:rsid w:val="06BE7B50"/>
    <w:rsid w:val="0E6561D1"/>
    <w:rsid w:val="137F0D35"/>
    <w:rsid w:val="159B7058"/>
    <w:rsid w:val="19FD7BE3"/>
    <w:rsid w:val="22DA1E11"/>
    <w:rsid w:val="262D2442"/>
    <w:rsid w:val="27EB658C"/>
    <w:rsid w:val="281E273F"/>
    <w:rsid w:val="28A160CF"/>
    <w:rsid w:val="2ADB6777"/>
    <w:rsid w:val="2E6C2B31"/>
    <w:rsid w:val="2F480195"/>
    <w:rsid w:val="2F625766"/>
    <w:rsid w:val="30C2179E"/>
    <w:rsid w:val="31065090"/>
    <w:rsid w:val="325C258C"/>
    <w:rsid w:val="330F269C"/>
    <w:rsid w:val="360E6D90"/>
    <w:rsid w:val="37080091"/>
    <w:rsid w:val="37F537A6"/>
    <w:rsid w:val="3FE128DB"/>
    <w:rsid w:val="44720A61"/>
    <w:rsid w:val="46326930"/>
    <w:rsid w:val="46A57E22"/>
    <w:rsid w:val="46A80A1D"/>
    <w:rsid w:val="47C46635"/>
    <w:rsid w:val="48E1333E"/>
    <w:rsid w:val="4A9E19B5"/>
    <w:rsid w:val="4BFFBD2F"/>
    <w:rsid w:val="50046BBE"/>
    <w:rsid w:val="50C76546"/>
    <w:rsid w:val="575D410A"/>
    <w:rsid w:val="60155C93"/>
    <w:rsid w:val="63CF2E85"/>
    <w:rsid w:val="65305200"/>
    <w:rsid w:val="65DC4B08"/>
    <w:rsid w:val="66EC01EB"/>
    <w:rsid w:val="6A55583C"/>
    <w:rsid w:val="6BBF9A3C"/>
    <w:rsid w:val="76DE08ED"/>
    <w:rsid w:val="7AE80533"/>
    <w:rsid w:val="7B4F66D5"/>
    <w:rsid w:val="7BC81D7C"/>
    <w:rsid w:val="7E39190A"/>
    <w:rsid w:val="BFF9D429"/>
    <w:rsid w:val="FE25B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标题 1 New New"/>
    <w:basedOn w:val="8"/>
    <w:next w:val="8"/>
    <w:qFormat/>
    <w:uiPriority w:val="0"/>
    <w:pPr>
      <w:keepNext/>
      <w:keepLines/>
      <w:spacing w:before="340" w:beforeLines="0" w:after="330" w:afterLines="0" w:line="578" w:lineRule="auto"/>
      <w:outlineLvl w:val="0"/>
    </w:pPr>
    <w:rPr>
      <w:b/>
      <w:bCs/>
      <w:kern w:val="44"/>
      <w:sz w:val="44"/>
      <w:szCs w:val="44"/>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普通(网站) New New New"/>
    <w:basedOn w:val="8"/>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2019-12-06T08:44:00Z</dcterms:created>
  <dc:creator>唐玉彬</dc:creator>
  <cp:lastModifiedBy>彩虹</cp:lastModifiedBy>
  <cp:lastPrinted>2019-12-06T10:27:00Z</cp:lastPrinted>
  <dcterms:modified xsi:type="dcterms:W3CDTF">2023-05-08T01:58:53Z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